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98" w:rsidRDefault="00B95423">
      <w:r>
        <w:rPr>
          <w:noProof/>
        </w:rPr>
        <w:drawing>
          <wp:inline distT="0" distB="0" distL="0" distR="0">
            <wp:extent cx="5940425" cy="8168084"/>
            <wp:effectExtent l="19050" t="0" r="3175" b="0"/>
            <wp:docPr id="1" name="Рисунок 1" descr="C:\Users\1\Pictures\2023-02-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2-27\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95423" w:rsidRDefault="00B95423"/>
    <w:p w:rsidR="00B95423" w:rsidRDefault="00B95423"/>
    <w:p w:rsidR="00B95423" w:rsidRDefault="00B95423"/>
    <w:p w:rsidR="005968EE" w:rsidRDefault="005968EE" w:rsidP="005968EE">
      <w:pPr>
        <w:widowControl w:val="0"/>
        <w:autoSpaceDE w:val="0"/>
        <w:spacing w:after="0" w:line="360" w:lineRule="auto"/>
        <w:ind w:firstLine="426"/>
        <w:jc w:val="center"/>
        <w:rPr>
          <w:rFonts w:ascii="Times New Roman" w:hAnsi="Times New Roman"/>
          <w:b/>
          <w:bCs/>
          <w:color w:val="000000"/>
          <w:sz w:val="28"/>
          <w:szCs w:val="28"/>
        </w:rPr>
      </w:pPr>
    </w:p>
    <w:p w:rsidR="005968EE" w:rsidRDefault="005968EE" w:rsidP="005968EE">
      <w:pPr>
        <w:widowControl w:val="0"/>
        <w:autoSpaceDE w:val="0"/>
        <w:spacing w:after="0" w:line="360" w:lineRule="auto"/>
        <w:ind w:firstLine="426"/>
        <w:jc w:val="center"/>
        <w:rPr>
          <w:rFonts w:ascii="Times New Roman" w:hAnsi="Times New Roman"/>
          <w:b/>
          <w:bCs/>
          <w:color w:val="000000"/>
          <w:sz w:val="28"/>
          <w:szCs w:val="28"/>
        </w:rPr>
      </w:pPr>
      <w:r>
        <w:rPr>
          <w:rFonts w:ascii="Times New Roman" w:hAnsi="Times New Roman"/>
          <w:b/>
          <w:bCs/>
          <w:color w:val="000000"/>
          <w:sz w:val="28"/>
          <w:szCs w:val="28"/>
        </w:rPr>
        <w:t>1. Общие положения</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color w:val="000000"/>
          <w:sz w:val="28"/>
          <w:szCs w:val="28"/>
        </w:rPr>
        <w:t>1.1.   Настоящее Положение разработано для муниципального  дошкольного образовательного учрежден</w:t>
      </w:r>
      <w:r w:rsidR="00465BFD">
        <w:rPr>
          <w:rFonts w:ascii="Times New Roman" w:hAnsi="Times New Roman"/>
          <w:bCs/>
          <w:color w:val="000000"/>
          <w:sz w:val="28"/>
          <w:szCs w:val="28"/>
        </w:rPr>
        <w:t>ия «Детский сад № 205»</w:t>
      </w:r>
      <w:r>
        <w:rPr>
          <w:rFonts w:ascii="Times New Roman" w:hAnsi="Times New Roman"/>
          <w:bCs/>
          <w:color w:val="000000"/>
          <w:sz w:val="28"/>
          <w:szCs w:val="28"/>
        </w:rPr>
        <w:t xml:space="preserve"> (далее по тексту – ДОУ) во исполнение требований Федерального закона от 29.12.2010 г. №  436-Ф3 «О защите обучающихся от информации, причиняющей вред их здоровью и развитию» (далее - Федеральный закон № 436-Ф3), приказа Министерства связи и массовых коммуникаций РФ от 16.06.2014 № 161.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color w:val="000000"/>
          <w:sz w:val="28"/>
          <w:szCs w:val="28"/>
        </w:rPr>
        <w:t xml:space="preserve">1.2. Основные понятия, используемые в настоящем Положении: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знак информационной продукции</w:t>
      </w:r>
      <w:r>
        <w:rPr>
          <w:rFonts w:ascii="Times New Roman" w:hAnsi="Times New Roman"/>
          <w:bCs/>
          <w:color w:val="000000"/>
          <w:sz w:val="28"/>
          <w:szCs w:val="28"/>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proofErr w:type="gramStart"/>
      <w:r>
        <w:rPr>
          <w:rFonts w:ascii="Times New Roman" w:hAnsi="Times New Roman"/>
          <w:bCs/>
          <w:color w:val="000000"/>
          <w:sz w:val="28"/>
          <w:szCs w:val="28"/>
        </w:rPr>
        <w:t>ч</w:t>
      </w:r>
      <w:proofErr w:type="gramEnd"/>
      <w:r>
        <w:rPr>
          <w:rFonts w:ascii="Times New Roman" w:hAnsi="Times New Roman"/>
          <w:bCs/>
          <w:color w:val="000000"/>
          <w:sz w:val="28"/>
          <w:szCs w:val="28"/>
        </w:rPr>
        <w:t xml:space="preserve">. 3 ст. 6 Федерального закона № 436-Ф3;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классификация информационной продукции</w:t>
      </w:r>
      <w:r>
        <w:rPr>
          <w:rFonts w:ascii="Times New Roman" w:hAnsi="Times New Roman"/>
          <w:bCs/>
          <w:color w:val="000000"/>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w:t>
      </w:r>
      <w:proofErr w:type="gramStart"/>
      <w:r>
        <w:rPr>
          <w:rFonts w:ascii="Times New Roman" w:hAnsi="Times New Roman"/>
          <w:bCs/>
          <w:color w:val="000000"/>
          <w:sz w:val="28"/>
          <w:szCs w:val="28"/>
        </w:rPr>
        <w:t>обучающихся</w:t>
      </w:r>
      <w:proofErr w:type="gramEnd"/>
      <w:r>
        <w:rPr>
          <w:rFonts w:ascii="Times New Roman" w:hAnsi="Times New Roman"/>
          <w:bCs/>
          <w:color w:val="000000"/>
          <w:sz w:val="28"/>
          <w:szCs w:val="28"/>
        </w:rPr>
        <w:t xml:space="preserve"> в порядке, установленном Федеральным законом №436-Ф3;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маркировка</w:t>
      </w:r>
      <w:r>
        <w:rPr>
          <w:rFonts w:ascii="Times New Roman" w:hAnsi="Times New Roman"/>
          <w:bCs/>
          <w:color w:val="000000"/>
          <w:sz w:val="28"/>
          <w:szCs w:val="28"/>
        </w:rPr>
        <w:t xml:space="preserve"> - нанесение условны знаков, букв, цифр, графических знаков или надписей на объект, с целью его дальнейшей идентификации (узнавания), указания его свойств и характеристик;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зрелищное мероприятие</w:t>
      </w:r>
      <w:r>
        <w:rPr>
          <w:rFonts w:ascii="Times New Roman" w:hAnsi="Times New Roman"/>
          <w:bCs/>
          <w:color w:val="000000"/>
          <w:sz w:val="28"/>
          <w:szCs w:val="28"/>
        </w:rPr>
        <w:t xml:space="preserve"> -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информационная безопасность воспитанников</w:t>
      </w:r>
      <w:r>
        <w:rPr>
          <w:rFonts w:ascii="Times New Roman" w:hAnsi="Times New Roman"/>
          <w:bCs/>
          <w:color w:val="000000"/>
          <w:sz w:val="28"/>
          <w:szCs w:val="28"/>
        </w:rPr>
        <w:t xml:space="preserve"> - состояние защищенности воспитанников,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информационная продукция</w:t>
      </w:r>
      <w:r>
        <w:rPr>
          <w:rFonts w:ascii="Times New Roman" w:hAnsi="Times New Roman"/>
          <w:bCs/>
          <w:color w:val="000000"/>
          <w:sz w:val="28"/>
          <w:szCs w:val="28"/>
        </w:rPr>
        <w:t xml:space="preserve"> - предназначенные для оборота на </w:t>
      </w:r>
      <w:r>
        <w:rPr>
          <w:rFonts w:ascii="Times New Roman" w:hAnsi="Times New Roman"/>
          <w:bCs/>
          <w:color w:val="000000"/>
          <w:sz w:val="28"/>
          <w:szCs w:val="28"/>
        </w:rPr>
        <w:lastRenderedPageBreak/>
        <w:t xml:space="preserve">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и базы данных, а также информация, размещаемая в  информационно-телекоммуникационных сетях (в  том числе в  сети Интернет) и сетях подвижной радиотелефонной связи; </w:t>
      </w:r>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proofErr w:type="gramStart"/>
      <w:r>
        <w:rPr>
          <w:rFonts w:ascii="Times New Roman" w:hAnsi="Times New Roman"/>
          <w:bCs/>
          <w:i/>
          <w:color w:val="000000"/>
          <w:sz w:val="28"/>
          <w:szCs w:val="28"/>
        </w:rPr>
        <w:t>места, доступные для воспитанников</w:t>
      </w:r>
      <w:r>
        <w:rPr>
          <w:rFonts w:ascii="Times New Roman" w:hAnsi="Times New Roman"/>
          <w:bCs/>
          <w:color w:val="000000"/>
          <w:sz w:val="28"/>
          <w:szCs w:val="28"/>
        </w:rPr>
        <w:t xml:space="preserve"> - общественные места, доступ воспитанников в которые и (или) нахождение воспитанников в которых не запрещены, в том числе общественные места, в которых воспитанник имеет доступ к продукции средств массовой информации и (или) размещаемой в  информационно-телекоммуникационных сетях информационной продукции; </w:t>
      </w:r>
      <w:proofErr w:type="gramEnd"/>
    </w:p>
    <w:p w:rsidR="005968EE" w:rsidRDefault="005968EE" w:rsidP="005968EE">
      <w:pPr>
        <w:widowControl w:val="0"/>
        <w:autoSpaceDE w:val="0"/>
        <w:spacing w:after="0" w:line="360" w:lineRule="auto"/>
        <w:ind w:firstLine="426"/>
        <w:jc w:val="both"/>
        <w:rPr>
          <w:rFonts w:ascii="Times New Roman" w:hAnsi="Times New Roman"/>
          <w:bCs/>
          <w:color w:val="000000"/>
          <w:sz w:val="28"/>
          <w:szCs w:val="28"/>
        </w:rPr>
      </w:pPr>
      <w:r>
        <w:rPr>
          <w:rFonts w:ascii="Times New Roman" w:hAnsi="Times New Roman"/>
          <w:bCs/>
          <w:i/>
          <w:color w:val="000000"/>
          <w:sz w:val="28"/>
          <w:szCs w:val="28"/>
        </w:rPr>
        <w:t>оборот информационной продукции</w:t>
      </w:r>
      <w:r>
        <w:rPr>
          <w:rFonts w:ascii="Times New Roman" w:hAnsi="Times New Roman"/>
          <w:bCs/>
          <w:color w:val="000000"/>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w:t>
      </w:r>
      <w:proofErr w:type="gramStart"/>
      <w:r>
        <w:rPr>
          <w:rFonts w:ascii="Times New Roman" w:hAnsi="Times New Roman"/>
          <w:bCs/>
          <w:color w:val="000000"/>
          <w:sz w:val="28"/>
          <w:szCs w:val="28"/>
        </w:rPr>
        <w:t>о-</w:t>
      </w:r>
      <w:proofErr w:type="gramEnd"/>
      <w:r>
        <w:rPr>
          <w:rFonts w:ascii="Times New Roman" w:hAnsi="Times New Roman"/>
          <w:bCs/>
          <w:color w:val="000000"/>
          <w:sz w:val="28"/>
          <w:szCs w:val="28"/>
        </w:rPr>
        <w:t xml:space="preserve"> телекоммуникационных сетях  (в том числе в сети Интернет) и  сетях подвижной радиотелефонной связи.</w:t>
      </w:r>
    </w:p>
    <w:p w:rsidR="005968EE" w:rsidRDefault="005968EE" w:rsidP="005968EE">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6"/>
        </w:rPr>
        <w:t xml:space="preserve">1.3. Вся информация, используемая во время проведения публичных мероприятий в ДОУ, </w:t>
      </w:r>
      <w:r>
        <w:rPr>
          <w:rFonts w:ascii="Times New Roman" w:hAnsi="Times New Roman"/>
          <w:color w:val="000000"/>
          <w:sz w:val="28"/>
          <w:szCs w:val="28"/>
        </w:rPr>
        <w:t xml:space="preserve">подлежит классификации. При проведении публичного  мероприятия, публичного  исполнения в ДОУ может использоваться </w:t>
      </w:r>
      <w:r>
        <w:rPr>
          <w:rFonts w:ascii="Times New Roman" w:hAnsi="Times New Roman"/>
          <w:sz w:val="28"/>
          <w:szCs w:val="28"/>
        </w:rPr>
        <w:t>информационная продукция для детей, не достигших возраста шести лет – «0+», информационная продукция для детей, достигших возраста шести лет – «6+»</w:t>
      </w:r>
      <w:r>
        <w:rPr>
          <w:rFonts w:ascii="Times New Roman" w:hAnsi="Times New Roman"/>
          <w:color w:val="000000"/>
          <w:sz w:val="28"/>
          <w:szCs w:val="28"/>
        </w:rPr>
        <w:t>:</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издательская продукция, распространяемая среди читателей;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презентационные и видео материалы, являющиеся иллюстрацией к приводимому мероприятию,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учебники и учебные пособия, рекомендуемые или допускаемые к использованию в образовательном процессе в соответствии с </w:t>
      </w:r>
      <w:r>
        <w:rPr>
          <w:rFonts w:ascii="Times New Roman" w:hAnsi="Times New Roman"/>
          <w:color w:val="000000"/>
          <w:sz w:val="28"/>
          <w:szCs w:val="28"/>
        </w:rPr>
        <w:lastRenderedPageBreak/>
        <w:t xml:space="preserve">законодательством Российской Федерации в области образования;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телепрограммы, телепередачи, </w:t>
      </w:r>
      <w:proofErr w:type="gramStart"/>
      <w:r>
        <w:rPr>
          <w:rFonts w:ascii="Times New Roman" w:hAnsi="Times New Roman"/>
          <w:color w:val="000000"/>
          <w:sz w:val="28"/>
          <w:szCs w:val="28"/>
        </w:rPr>
        <w:t>транслируемых</w:t>
      </w:r>
      <w:proofErr w:type="gramEnd"/>
      <w:r>
        <w:rPr>
          <w:rFonts w:ascii="Times New Roman" w:hAnsi="Times New Roman"/>
          <w:color w:val="000000"/>
          <w:sz w:val="28"/>
          <w:szCs w:val="28"/>
        </w:rPr>
        <w:t xml:space="preserve"> в эфире без предварительной записи;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информационная</w:t>
      </w:r>
      <w:proofErr w:type="gramEnd"/>
      <w:r>
        <w:rPr>
          <w:rFonts w:ascii="Times New Roman" w:hAnsi="Times New Roman"/>
          <w:color w:val="000000"/>
          <w:sz w:val="28"/>
          <w:szCs w:val="28"/>
        </w:rPr>
        <w:t xml:space="preserve"> продукции, распространяемая посредством   радиовещания и на официальном сайте ДОУ;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 информационной продукции, демонстрируемой посредством зрелищных мероприятий.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элементы, используемые при оформлении сцен, спектаклей, книжных выставок и др. </w:t>
      </w:r>
    </w:p>
    <w:p w:rsidR="005968EE" w:rsidRDefault="005968EE" w:rsidP="005968EE">
      <w:pPr>
        <w:widowControl w:val="0"/>
        <w:autoSpaceDE w:val="0"/>
        <w:spacing w:after="0" w:line="360" w:lineRule="auto"/>
        <w:ind w:firstLine="426"/>
        <w:jc w:val="both"/>
        <w:rPr>
          <w:rFonts w:ascii="Calibri" w:hAnsi="Calibri"/>
        </w:rPr>
      </w:pPr>
      <w:r>
        <w:rPr>
          <w:rFonts w:ascii="Times New Roman" w:hAnsi="Times New Roman"/>
          <w:color w:val="000000"/>
          <w:sz w:val="28"/>
          <w:szCs w:val="28"/>
        </w:rPr>
        <w:t>1.4. Оборот информационной продукции, содержащей информацию, предусмотренную статьей  5  Федерального закона, без знака информационной продукции не допускается.</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1.5. Воспитанники могут присутствовать на публичном показе, при публичном исполнении, зрелищном мероприятии, если на них не демонстрируется информационная продукция: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побуждающая воспитанников  к совершению действий, представляющих   угрозу их жизни и (или) здоровью, в том числе  к   причинению вреда своему здоровью, самоубийству;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способная вызвать у воспитанников  желание употребить   наркотические средства, психотропные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отрицающая семейные ценности и формирующая   неуважение к родителям и (или) другим членам семьи;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оправдывающая</w:t>
      </w:r>
      <w:proofErr w:type="gramEnd"/>
      <w:r>
        <w:rPr>
          <w:rFonts w:ascii="Times New Roman" w:hAnsi="Times New Roman"/>
          <w:color w:val="000000"/>
          <w:sz w:val="28"/>
          <w:szCs w:val="28"/>
        </w:rPr>
        <w:t xml:space="preserve"> противоправное   поведение;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 xml:space="preserve">- содержащая нецензурную брань; </w:t>
      </w:r>
      <w:proofErr w:type="gramEnd"/>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содержащая</w:t>
      </w:r>
      <w:proofErr w:type="gramEnd"/>
      <w:r>
        <w:rPr>
          <w:rFonts w:ascii="Times New Roman" w:hAnsi="Times New Roman"/>
          <w:color w:val="000000"/>
          <w:sz w:val="28"/>
          <w:szCs w:val="28"/>
        </w:rPr>
        <w:t xml:space="preserve"> информацию порнографического характера.</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1.6. Ответственность за использование информационной продукции во время публичного мероприятия  в ДОУ несет лицо, ответственное за проведение мероприятия, утвержденное приказам заведующего ДОУ. </w:t>
      </w:r>
    </w:p>
    <w:p w:rsidR="005968EE" w:rsidRDefault="005968EE" w:rsidP="005968EE">
      <w:pPr>
        <w:widowControl w:val="0"/>
        <w:autoSpaceDE w:val="0"/>
        <w:spacing w:after="0" w:line="360" w:lineRule="auto"/>
        <w:ind w:firstLine="426"/>
        <w:jc w:val="center"/>
        <w:rPr>
          <w:rFonts w:ascii="Times New Roman" w:hAnsi="Times New Roman"/>
          <w:b/>
          <w:color w:val="000000"/>
          <w:sz w:val="28"/>
          <w:szCs w:val="28"/>
        </w:rPr>
      </w:pPr>
      <w:r>
        <w:rPr>
          <w:rFonts w:ascii="Times New Roman" w:hAnsi="Times New Roman"/>
          <w:b/>
          <w:color w:val="000000"/>
          <w:sz w:val="28"/>
          <w:szCs w:val="28"/>
        </w:rPr>
        <w:t>2. Организация  присутствия воспитанников на публичном показе в ДОУ, при публичном исполнении, демонстрации посредством зрелищного мероприятия информационной продукции</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2.1. До начала  демонстрации посредством зрелищного мероприятия информационной продукции проверяется знак информационной продукции. В случае демонстрации нескольких  видов  информационной продукции для воспитанников разных возрастных категорий в зрелищном мероприятии  может использоваться только информация, разрешенная для младшей возрастной категории.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2.2.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2.3. Демонстрация посредством зрелищного мероприятия  информационной продукции, содержащей информацию, предусмотренную статьей 5 Федерального закона 436-ФЗ,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воспитанников, соответствующих возрастных категорий.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2.4. Размер знака информационной продукции ДОУ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w:t>
      </w:r>
      <w:r>
        <w:rPr>
          <w:rFonts w:ascii="Times New Roman" w:hAnsi="Times New Roman"/>
          <w:color w:val="000000"/>
          <w:sz w:val="28"/>
          <w:szCs w:val="28"/>
        </w:rPr>
        <w:lastRenderedPageBreak/>
        <w:t xml:space="preserve">или видео показе, а также входного билета, приглашения либо иного документа, предоставляющих право посещения такого мероприятия.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2.5. Распространение информационной продукции в ДОУ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2.6.  Распространение информационной продукции в ДОУ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 </w:t>
      </w:r>
    </w:p>
    <w:p w:rsidR="005968EE" w:rsidRDefault="005968EE" w:rsidP="005968EE">
      <w:pPr>
        <w:widowControl w:val="0"/>
        <w:autoSpaceDE w:val="0"/>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2.7. Лица, организующие и проводящие показы, демонстрации и другие мероприятия публичного характера несут ответственность за нарушение   законодательства Российской Федерации о защите детей от информации, причиняющей вред их здоровью и (или) развитию в соответствии с законодательством Российской Федерации.</w:t>
      </w:r>
    </w:p>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p w:rsidR="00B95423" w:rsidRDefault="00B95423"/>
    <w:sectPr w:rsidR="00B95423" w:rsidSect="00707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5423"/>
    <w:rsid w:val="00465BFD"/>
    <w:rsid w:val="005968EE"/>
    <w:rsid w:val="00707698"/>
    <w:rsid w:val="008F4034"/>
    <w:rsid w:val="00B9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4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2023-02-27T13:32:00Z</dcterms:created>
  <dcterms:modified xsi:type="dcterms:W3CDTF">2023-03-06T11:23:00Z</dcterms:modified>
</cp:coreProperties>
</file>